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BAF70" w14:textId="7D144930" w:rsidR="00B74ACB" w:rsidRPr="006C7E67" w:rsidRDefault="00B74ACB" w:rsidP="00B74ACB">
      <w:pPr>
        <w:pStyle w:val="NormalWeb"/>
        <w:rPr>
          <w:rFonts w:ascii="Arial" w:hAnsi="Arial" w:cs="Arial"/>
          <w:b/>
          <w:bCs/>
          <w:sz w:val="24"/>
          <w:szCs w:val="24"/>
        </w:rPr>
      </w:pPr>
      <w:bookmarkStart w:id="0" w:name="_GoBack"/>
      <w:bookmarkEnd w:id="0"/>
      <w:r>
        <w:rPr>
          <w:rFonts w:ascii="Arial" w:hAnsi="Arial" w:cs="Arial"/>
          <w:b/>
          <w:bCs/>
          <w:sz w:val="24"/>
          <w:szCs w:val="24"/>
        </w:rPr>
        <w:t xml:space="preserve">MIRAMAR NATIONAL CEMETERY </w:t>
      </w:r>
      <w:r w:rsidR="0073618F">
        <w:rPr>
          <w:rFonts w:ascii="Arial" w:hAnsi="Arial" w:cs="Arial"/>
          <w:b/>
          <w:bCs/>
          <w:sz w:val="24"/>
          <w:szCs w:val="24"/>
        </w:rPr>
        <w:t xml:space="preserve">                                                                </w:t>
      </w:r>
      <w:r w:rsidRPr="00A2599D">
        <w:rPr>
          <w:rFonts w:ascii="Arial" w:hAnsi="Arial" w:cs="Arial"/>
          <w:b/>
          <w:bCs/>
          <w:color w:val="FF0000"/>
          <w:sz w:val="24"/>
          <w:szCs w:val="24"/>
        </w:rPr>
        <w:t xml:space="preserve">Status as of April 30, 2018 </w:t>
      </w:r>
      <w:r w:rsidR="006C7E67" w:rsidRPr="00A2599D">
        <w:rPr>
          <w:rFonts w:ascii="Arial" w:hAnsi="Arial" w:cs="Arial"/>
          <w:b/>
          <w:bCs/>
          <w:color w:val="FF0000"/>
          <w:sz w:val="24"/>
          <w:szCs w:val="24"/>
        </w:rPr>
        <w:t xml:space="preserve">            </w:t>
      </w:r>
      <w:r w:rsidR="0073618F" w:rsidRPr="00A2599D">
        <w:rPr>
          <w:rFonts w:ascii="Arial" w:hAnsi="Arial" w:cs="Arial"/>
          <w:b/>
          <w:bCs/>
          <w:color w:val="FF0000"/>
          <w:sz w:val="24"/>
          <w:szCs w:val="24"/>
        </w:rPr>
        <w:t xml:space="preserve">                                                           </w:t>
      </w:r>
      <w:r>
        <w:rPr>
          <w:rFonts w:ascii="Arial" w:hAnsi="Arial" w:cs="Arial"/>
          <w:b/>
          <w:bCs/>
          <w:sz w:val="24"/>
          <w:szCs w:val="24"/>
        </w:rPr>
        <w:t xml:space="preserve">(Cemetery opened November 2010) </w:t>
      </w:r>
    </w:p>
    <w:p w14:paraId="110635E8" w14:textId="77777777" w:rsidR="00B74ACB" w:rsidRDefault="00B74ACB" w:rsidP="00B74ACB">
      <w:pPr>
        <w:pStyle w:val="NormalWeb"/>
      </w:pPr>
      <w:r>
        <w:rPr>
          <w:rFonts w:ascii="Arial" w:hAnsi="Arial" w:cs="Arial"/>
          <w:sz w:val="24"/>
          <w:szCs w:val="24"/>
        </w:rPr>
        <w:t xml:space="preserve">Interments (of all types) to date: </w:t>
      </w:r>
    </w:p>
    <w:p w14:paraId="364EAD12" w14:textId="77777777" w:rsidR="00B74ACB" w:rsidRDefault="00B74ACB" w:rsidP="00B74ACB">
      <w:pPr>
        <w:pStyle w:val="NormalWeb"/>
      </w:pPr>
      <w:r>
        <w:rPr>
          <w:rFonts w:ascii="Arial" w:hAnsi="Arial" w:cs="Arial"/>
          <w:sz w:val="24"/>
          <w:szCs w:val="24"/>
        </w:rPr>
        <w:t>Casket – 4,974</w:t>
      </w:r>
      <w:r>
        <w:rPr>
          <w:rFonts w:ascii="Arial" w:hAnsi="Arial" w:cs="Arial"/>
          <w:sz w:val="24"/>
          <w:szCs w:val="24"/>
        </w:rPr>
        <w:br/>
        <w:t>In-ground cremated remains – 4,507 Columbarium – 4,191</w:t>
      </w:r>
      <w:r>
        <w:rPr>
          <w:rFonts w:ascii="Arial" w:hAnsi="Arial" w:cs="Arial"/>
          <w:sz w:val="24"/>
          <w:szCs w:val="24"/>
        </w:rPr>
        <w:br/>
      </w:r>
      <w:proofErr w:type="gramStart"/>
      <w:r>
        <w:rPr>
          <w:rFonts w:ascii="Arial" w:hAnsi="Arial" w:cs="Arial"/>
          <w:sz w:val="24"/>
          <w:szCs w:val="24"/>
        </w:rPr>
        <w:t>Scattered</w:t>
      </w:r>
      <w:proofErr w:type="gramEnd"/>
      <w:r>
        <w:rPr>
          <w:rFonts w:ascii="Arial" w:hAnsi="Arial" w:cs="Arial"/>
          <w:sz w:val="24"/>
          <w:szCs w:val="24"/>
        </w:rPr>
        <w:t xml:space="preserve"> remains – 4 </w:t>
      </w:r>
    </w:p>
    <w:p w14:paraId="03525054" w14:textId="77777777" w:rsidR="00B74ACB" w:rsidRDefault="00B74ACB" w:rsidP="00B74ACB">
      <w:pPr>
        <w:pStyle w:val="NormalWeb"/>
        <w:rPr>
          <w:rFonts w:ascii="Arial" w:hAnsi="Arial" w:cs="Arial"/>
          <w:sz w:val="24"/>
          <w:szCs w:val="24"/>
        </w:rPr>
      </w:pPr>
      <w:r>
        <w:rPr>
          <w:rFonts w:ascii="Arial" w:hAnsi="Arial" w:cs="Arial"/>
          <w:sz w:val="24"/>
          <w:szCs w:val="24"/>
        </w:rPr>
        <w:t xml:space="preserve">Completed construction – Phase 1 sites built </w:t>
      </w:r>
      <w:r>
        <w:rPr>
          <w:rFonts w:ascii="Arial" w:hAnsi="Arial" w:cs="Arial"/>
          <w:sz w:val="24"/>
          <w:szCs w:val="24"/>
        </w:rPr>
        <w:tab/>
      </w:r>
      <w:r>
        <w:rPr>
          <w:rFonts w:ascii="Arial" w:hAnsi="Arial" w:cs="Arial"/>
          <w:sz w:val="24"/>
          <w:szCs w:val="24"/>
        </w:rPr>
        <w:tab/>
        <w:t>29,310</w:t>
      </w:r>
    </w:p>
    <w:p w14:paraId="07E05041" w14:textId="77777777" w:rsidR="00B74ACB" w:rsidRPr="00B74ACB" w:rsidRDefault="00B74ACB" w:rsidP="00B74ACB">
      <w:pPr>
        <w:pStyle w:val="NormalWeb"/>
        <w:rPr>
          <w:rFonts w:ascii="Arial" w:hAnsi="Arial" w:cs="Arial"/>
          <w:sz w:val="24"/>
          <w:szCs w:val="24"/>
        </w:rPr>
      </w:pPr>
      <w:r>
        <w:rPr>
          <w:rFonts w:ascii="Arial" w:hAnsi="Arial" w:cs="Arial"/>
          <w:sz w:val="24"/>
          <w:szCs w:val="24"/>
        </w:rPr>
        <w:tab/>
        <w:t xml:space="preserve">In-ground vaults – casket/traditional sites – 11,292                                    </w:t>
      </w:r>
      <w:r>
        <w:rPr>
          <w:rFonts w:ascii="Arial" w:hAnsi="Arial" w:cs="Arial"/>
          <w:sz w:val="24"/>
          <w:szCs w:val="24"/>
        </w:rPr>
        <w:tab/>
        <w:t>In-ground cremation sites – 6,742</w:t>
      </w:r>
      <w:r>
        <w:rPr>
          <w:rFonts w:ascii="Arial" w:hAnsi="Arial" w:cs="Arial"/>
          <w:sz w:val="24"/>
          <w:szCs w:val="24"/>
        </w:rPr>
        <w:br/>
      </w:r>
      <w:r>
        <w:rPr>
          <w:rFonts w:ascii="Arial" w:hAnsi="Arial" w:cs="Arial"/>
          <w:sz w:val="24"/>
          <w:szCs w:val="24"/>
        </w:rPr>
        <w:tab/>
        <w:t>Cremation niche sites – 10,188</w:t>
      </w:r>
      <w:r>
        <w:rPr>
          <w:rFonts w:ascii="Arial" w:hAnsi="Arial" w:cs="Arial"/>
          <w:sz w:val="24"/>
          <w:szCs w:val="24"/>
        </w:rPr>
        <w:br/>
      </w:r>
      <w:r>
        <w:rPr>
          <w:rFonts w:ascii="Arial" w:hAnsi="Arial" w:cs="Arial"/>
          <w:sz w:val="24"/>
          <w:szCs w:val="24"/>
        </w:rPr>
        <w:tab/>
        <w:t xml:space="preserve">Memorial Wall plaque sites – 1,088 </w:t>
      </w:r>
    </w:p>
    <w:p w14:paraId="437387C3" w14:textId="77777777" w:rsidR="00B74ACB" w:rsidRDefault="00B74ACB" w:rsidP="00B74ACB">
      <w:pPr>
        <w:pStyle w:val="NormalWeb"/>
        <w:rPr>
          <w:rFonts w:ascii="Courier New" w:hAnsi="Courier New" w:cs="Courier New"/>
          <w:sz w:val="24"/>
          <w:szCs w:val="24"/>
        </w:rPr>
      </w:pPr>
      <w:r>
        <w:rPr>
          <w:rFonts w:ascii="Arial" w:hAnsi="Arial" w:cs="Arial"/>
          <w:sz w:val="24"/>
          <w:szCs w:val="24"/>
        </w:rPr>
        <w:t>Sites 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12,938</w:t>
      </w:r>
      <w:r w:rsidRPr="00B74ACB">
        <w:rPr>
          <w:rFonts w:ascii="Courier New" w:hAnsi="Courier New" w:cs="Courier New"/>
          <w:sz w:val="24"/>
          <w:szCs w:val="24"/>
        </w:rPr>
        <w:t xml:space="preserve"> </w:t>
      </w:r>
    </w:p>
    <w:p w14:paraId="422C0C83" w14:textId="77777777" w:rsidR="00B74ACB" w:rsidRPr="00B74ACB" w:rsidRDefault="00B74ACB" w:rsidP="00B74ACB">
      <w:pPr>
        <w:pStyle w:val="NormalWeb"/>
        <w:rPr>
          <w:rFonts w:ascii="Arial" w:hAnsi="Arial" w:cs="Arial"/>
          <w:sz w:val="24"/>
          <w:szCs w:val="24"/>
        </w:rPr>
      </w:pPr>
      <w:r>
        <w:rPr>
          <w:rFonts w:ascii="Courier New" w:hAnsi="Courier New" w:cs="Courier New"/>
          <w:sz w:val="24"/>
          <w:szCs w:val="24"/>
        </w:rPr>
        <w:tab/>
      </w: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Arial" w:hAnsi="Arial" w:cs="Arial"/>
          <w:sz w:val="24"/>
          <w:szCs w:val="24"/>
        </w:rPr>
        <w:t>All Casket</w:t>
      </w:r>
      <w:r>
        <w:rPr>
          <w:rFonts w:ascii="Arial" w:hAnsi="Arial" w:cs="Arial"/>
          <w:sz w:val="24"/>
          <w:szCs w:val="24"/>
        </w:rPr>
        <w:tab/>
      </w:r>
      <w:r>
        <w:rPr>
          <w:rFonts w:ascii="Arial" w:hAnsi="Arial" w:cs="Arial"/>
          <w:sz w:val="24"/>
          <w:szCs w:val="24"/>
        </w:rPr>
        <w:tab/>
      </w:r>
      <w:r>
        <w:rPr>
          <w:rFonts w:ascii="Arial" w:hAnsi="Arial" w:cs="Arial"/>
          <w:sz w:val="24"/>
          <w:szCs w:val="24"/>
        </w:rPr>
        <w:tab/>
        <w:t>4,498</w:t>
      </w:r>
      <w:r>
        <w:rPr>
          <w:rFonts w:ascii="Arial" w:hAnsi="Arial" w:cs="Arial"/>
          <w:sz w:val="24"/>
          <w:szCs w:val="24"/>
        </w:rPr>
        <w:br/>
      </w:r>
      <w:r>
        <w:rPr>
          <w:rFonts w:ascii="Courier New" w:hAnsi="Courier New" w:cs="Courier New"/>
          <w:sz w:val="24"/>
          <w:szCs w:val="24"/>
        </w:rPr>
        <w:tab/>
        <w:t xml:space="preserve">o </w:t>
      </w:r>
      <w:r>
        <w:rPr>
          <w:rFonts w:ascii="Arial" w:hAnsi="Arial" w:cs="Arial"/>
          <w:sz w:val="24"/>
          <w:szCs w:val="24"/>
        </w:rPr>
        <w:t xml:space="preserve">In-ground cremation </w:t>
      </w:r>
      <w:r>
        <w:rPr>
          <w:rFonts w:ascii="Arial" w:hAnsi="Arial" w:cs="Arial"/>
          <w:sz w:val="24"/>
          <w:szCs w:val="24"/>
        </w:rPr>
        <w:tab/>
        <w:t xml:space="preserve">3,888                                                                           </w:t>
      </w:r>
      <w:r>
        <w:rPr>
          <w:rFonts w:ascii="Arial" w:hAnsi="Arial" w:cs="Arial"/>
          <w:sz w:val="24"/>
          <w:szCs w:val="24"/>
        </w:rPr>
        <w:tab/>
      </w:r>
      <w:r>
        <w:rPr>
          <w:rFonts w:ascii="Courier New" w:hAnsi="Courier New" w:cs="Courier New"/>
          <w:sz w:val="24"/>
          <w:szCs w:val="24"/>
        </w:rPr>
        <w:t xml:space="preserve">o </w:t>
      </w:r>
      <w:r>
        <w:rPr>
          <w:rFonts w:ascii="Arial" w:hAnsi="Arial" w:cs="Arial"/>
          <w:sz w:val="24"/>
          <w:szCs w:val="24"/>
        </w:rPr>
        <w:t xml:space="preserve">Columbaria niches </w:t>
      </w:r>
      <w:r>
        <w:rPr>
          <w:rFonts w:ascii="Arial" w:hAnsi="Arial" w:cs="Arial"/>
          <w:sz w:val="24"/>
          <w:szCs w:val="24"/>
        </w:rPr>
        <w:tab/>
        <w:t xml:space="preserve">4,487                                                                    </w:t>
      </w:r>
      <w:r>
        <w:rPr>
          <w:rFonts w:ascii="Arial" w:hAnsi="Arial" w:cs="Arial"/>
          <w:sz w:val="24"/>
          <w:szCs w:val="24"/>
        </w:rPr>
        <w:tab/>
      </w:r>
      <w:r>
        <w:rPr>
          <w:rFonts w:ascii="Courier New" w:hAnsi="Courier New" w:cs="Courier New"/>
          <w:sz w:val="24"/>
          <w:szCs w:val="24"/>
        </w:rPr>
        <w:t xml:space="preserve">o </w:t>
      </w:r>
      <w:r>
        <w:rPr>
          <w:rFonts w:ascii="Arial" w:hAnsi="Arial" w:cs="Arial"/>
          <w:sz w:val="24"/>
          <w:szCs w:val="24"/>
        </w:rPr>
        <w:t>Memorial Walls</w:t>
      </w:r>
      <w:r>
        <w:rPr>
          <w:rFonts w:ascii="Arial" w:hAnsi="Arial" w:cs="Arial"/>
          <w:sz w:val="24"/>
          <w:szCs w:val="24"/>
        </w:rPr>
        <w:tab/>
      </w:r>
      <w:r>
        <w:rPr>
          <w:rFonts w:ascii="Arial" w:hAnsi="Arial" w:cs="Arial"/>
          <w:sz w:val="24"/>
          <w:szCs w:val="24"/>
        </w:rPr>
        <w:tab/>
        <w:t xml:space="preserve">     65</w:t>
      </w:r>
      <w:r>
        <w:rPr>
          <w:rFonts w:ascii="Arial" w:hAnsi="Arial" w:cs="Arial"/>
          <w:sz w:val="24"/>
          <w:szCs w:val="24"/>
        </w:rPr>
        <w:br/>
      </w:r>
      <w:r>
        <w:rPr>
          <w:rFonts w:ascii="Courier New" w:hAnsi="Courier New" w:cs="Courier New"/>
          <w:sz w:val="24"/>
          <w:szCs w:val="24"/>
        </w:rPr>
        <w:tab/>
        <w:t xml:space="preserve">o </w:t>
      </w:r>
      <w:r>
        <w:rPr>
          <w:rFonts w:ascii="Arial" w:hAnsi="Arial" w:cs="Arial"/>
          <w:sz w:val="24"/>
          <w:szCs w:val="24"/>
        </w:rPr>
        <w:t>Reserved sites</w:t>
      </w:r>
      <w:r>
        <w:rPr>
          <w:rFonts w:ascii="Arial" w:hAnsi="Arial" w:cs="Arial"/>
          <w:sz w:val="24"/>
          <w:szCs w:val="24"/>
        </w:rPr>
        <w:tab/>
      </w:r>
      <w:r>
        <w:rPr>
          <w:rFonts w:ascii="Arial" w:hAnsi="Arial" w:cs="Arial"/>
          <w:sz w:val="24"/>
          <w:szCs w:val="24"/>
        </w:rPr>
        <w:tab/>
        <w:t xml:space="preserve">   260</w:t>
      </w:r>
    </w:p>
    <w:p w14:paraId="2EE8CF7D" w14:textId="77777777" w:rsidR="00B74ACB" w:rsidRPr="00B74ACB" w:rsidRDefault="00B74ACB" w:rsidP="00B74ACB">
      <w:pPr>
        <w:pStyle w:val="NormalWeb"/>
      </w:pPr>
      <w:r>
        <w:rPr>
          <w:rFonts w:ascii="Arial" w:hAnsi="Arial" w:cs="Arial"/>
          <w:b/>
          <w:bCs/>
          <w:sz w:val="24"/>
          <w:szCs w:val="24"/>
        </w:rPr>
        <w:t xml:space="preserve">Current Available burial sites: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Cs/>
          <w:sz w:val="24"/>
          <w:szCs w:val="24"/>
        </w:rPr>
        <w:t>16,109</w:t>
      </w:r>
    </w:p>
    <w:p w14:paraId="346CB658" w14:textId="77777777" w:rsidR="00B74ACB" w:rsidRPr="00B74ACB" w:rsidRDefault="00B74ACB" w:rsidP="00B74ACB">
      <w:pPr>
        <w:pStyle w:val="NormalWeb"/>
        <w:rPr>
          <w:b/>
        </w:rPr>
      </w:pPr>
      <w:r w:rsidRPr="00B74ACB">
        <w:rPr>
          <w:rFonts w:ascii="Arial" w:hAnsi="Arial" w:cs="Arial"/>
          <w:b/>
          <w:sz w:val="24"/>
          <w:szCs w:val="24"/>
        </w:rPr>
        <w:t xml:space="preserve">Miramar National Cemetery special features: </w:t>
      </w:r>
    </w:p>
    <w:p w14:paraId="499C0FD5" w14:textId="77777777" w:rsidR="00B74ACB" w:rsidRPr="00B74ACB" w:rsidRDefault="00B74ACB" w:rsidP="00B74ACB">
      <w:pPr>
        <w:pStyle w:val="NormalWeb"/>
        <w:rPr>
          <w:rFonts w:ascii="Arial" w:hAnsi="Arial" w:cs="Arial"/>
          <w:sz w:val="24"/>
          <w:szCs w:val="24"/>
        </w:rPr>
      </w:pPr>
      <w:r>
        <w:rPr>
          <w:rFonts w:ascii="Arial" w:hAnsi="Arial" w:cs="Arial"/>
          <w:sz w:val="24"/>
          <w:szCs w:val="24"/>
        </w:rPr>
        <w:t>Veterans Tribute Tower &amp; Carillon (dedicated 11 November 2016</w:t>
      </w:r>
      <w:proofErr w:type="gramStart"/>
      <w:r>
        <w:rPr>
          <w:rFonts w:ascii="Arial" w:hAnsi="Arial" w:cs="Arial"/>
          <w:sz w:val="24"/>
          <w:szCs w:val="24"/>
        </w:rPr>
        <w:t>)                        3</w:t>
      </w:r>
      <w:proofErr w:type="gramEnd"/>
      <w:r>
        <w:rPr>
          <w:rFonts w:ascii="Arial" w:hAnsi="Arial" w:cs="Arial"/>
          <w:sz w:val="24"/>
          <w:szCs w:val="24"/>
        </w:rPr>
        <w:t xml:space="preserve"> Memorial Benches (at Carillon site)</w:t>
      </w:r>
      <w:r>
        <w:rPr>
          <w:rFonts w:ascii="Arial" w:hAnsi="Arial" w:cs="Arial"/>
          <w:sz w:val="24"/>
          <w:szCs w:val="24"/>
        </w:rPr>
        <w:br/>
        <w:t xml:space="preserve">Sgt. Charles </w:t>
      </w:r>
      <w:proofErr w:type="spellStart"/>
      <w:r>
        <w:rPr>
          <w:rFonts w:ascii="Arial" w:hAnsi="Arial" w:cs="Arial"/>
          <w:sz w:val="24"/>
          <w:szCs w:val="24"/>
        </w:rPr>
        <w:t>Schroeter</w:t>
      </w:r>
      <w:proofErr w:type="spellEnd"/>
      <w:r>
        <w:rPr>
          <w:rFonts w:ascii="Arial" w:hAnsi="Arial" w:cs="Arial"/>
          <w:sz w:val="24"/>
          <w:szCs w:val="24"/>
        </w:rPr>
        <w:t>, Medal of Honor, Section 3, Grave 1052                      Avenue of Flags (dedicated 28 January 2012)                                           Memorial Walkway (6 monuments)</w:t>
      </w:r>
      <w:r>
        <w:rPr>
          <w:rFonts w:ascii="Arial" w:hAnsi="Arial" w:cs="Arial"/>
          <w:sz w:val="24"/>
          <w:szCs w:val="24"/>
        </w:rPr>
        <w:br/>
        <w:t xml:space="preserve">POW Monument (dedicated 16 September 2011)                                          Committal Shelters (2) </w:t>
      </w:r>
    </w:p>
    <w:p w14:paraId="03182B42" w14:textId="77777777" w:rsidR="00B74ACB" w:rsidRDefault="00B74ACB" w:rsidP="00B74ACB">
      <w:pPr>
        <w:pStyle w:val="NormalWeb"/>
      </w:pPr>
      <w:r>
        <w:rPr>
          <w:rFonts w:ascii="Arial" w:hAnsi="Arial" w:cs="Arial"/>
          <w:sz w:val="24"/>
          <w:szCs w:val="24"/>
        </w:rPr>
        <w:t>Cemetery Facts:</w:t>
      </w:r>
      <w:r>
        <w:rPr>
          <w:rFonts w:ascii="Arial" w:hAnsi="Arial" w:cs="Arial"/>
          <w:sz w:val="24"/>
          <w:szCs w:val="24"/>
        </w:rPr>
        <w:br/>
        <w:t xml:space="preserve">Miramar National Cemetery includes 313 acres available for development. When fully developed, the cemetery will have more than 260,000 burial sites. Fort Rosecrans National Cemetery, which closed for first burials in 1966, is located on 77 acres. Ft. Rosecrans has 86,000 burial sites. </w:t>
      </w:r>
    </w:p>
    <w:p w14:paraId="51404463" w14:textId="77777777" w:rsidR="007C6B48" w:rsidRDefault="007C6B48"/>
    <w:sectPr w:rsidR="007C6B48" w:rsidSect="006830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CB"/>
    <w:rsid w:val="006C7E67"/>
    <w:rsid w:val="0073618F"/>
    <w:rsid w:val="007C6B48"/>
    <w:rsid w:val="00A2599D"/>
    <w:rsid w:val="00B7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27F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ACB"/>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ACB"/>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636">
      <w:bodyDiv w:val="1"/>
      <w:marLeft w:val="0"/>
      <w:marRight w:val="0"/>
      <w:marTop w:val="0"/>
      <w:marBottom w:val="0"/>
      <w:divBdr>
        <w:top w:val="none" w:sz="0" w:space="0" w:color="auto"/>
        <w:left w:val="none" w:sz="0" w:space="0" w:color="auto"/>
        <w:bottom w:val="none" w:sz="0" w:space="0" w:color="auto"/>
        <w:right w:val="none" w:sz="0" w:space="0" w:color="auto"/>
      </w:divBdr>
      <w:divsChild>
        <w:div w:id="1249001930">
          <w:marLeft w:val="0"/>
          <w:marRight w:val="0"/>
          <w:marTop w:val="0"/>
          <w:marBottom w:val="0"/>
          <w:divBdr>
            <w:top w:val="none" w:sz="0" w:space="0" w:color="auto"/>
            <w:left w:val="none" w:sz="0" w:space="0" w:color="auto"/>
            <w:bottom w:val="none" w:sz="0" w:space="0" w:color="auto"/>
            <w:right w:val="none" w:sz="0" w:space="0" w:color="auto"/>
          </w:divBdr>
          <w:divsChild>
            <w:div w:id="723869207">
              <w:marLeft w:val="0"/>
              <w:marRight w:val="0"/>
              <w:marTop w:val="0"/>
              <w:marBottom w:val="0"/>
              <w:divBdr>
                <w:top w:val="none" w:sz="0" w:space="0" w:color="auto"/>
                <w:left w:val="none" w:sz="0" w:space="0" w:color="auto"/>
                <w:bottom w:val="none" w:sz="0" w:space="0" w:color="auto"/>
                <w:right w:val="none" w:sz="0" w:space="0" w:color="auto"/>
              </w:divBdr>
              <w:divsChild>
                <w:div w:id="8720464">
                  <w:marLeft w:val="0"/>
                  <w:marRight w:val="0"/>
                  <w:marTop w:val="0"/>
                  <w:marBottom w:val="0"/>
                  <w:divBdr>
                    <w:top w:val="none" w:sz="0" w:space="0" w:color="auto"/>
                    <w:left w:val="none" w:sz="0" w:space="0" w:color="auto"/>
                    <w:bottom w:val="none" w:sz="0" w:space="0" w:color="auto"/>
                    <w:right w:val="none" w:sz="0" w:space="0" w:color="auto"/>
                  </w:divBdr>
                </w:div>
                <w:div w:id="1329554858">
                  <w:marLeft w:val="0"/>
                  <w:marRight w:val="0"/>
                  <w:marTop w:val="0"/>
                  <w:marBottom w:val="0"/>
                  <w:divBdr>
                    <w:top w:val="none" w:sz="0" w:space="0" w:color="auto"/>
                    <w:left w:val="none" w:sz="0" w:space="0" w:color="auto"/>
                    <w:bottom w:val="none" w:sz="0" w:space="0" w:color="auto"/>
                    <w:right w:val="none" w:sz="0" w:space="0" w:color="auto"/>
                  </w:divBdr>
                </w:div>
                <w:div w:id="13697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3185">
      <w:bodyDiv w:val="1"/>
      <w:marLeft w:val="0"/>
      <w:marRight w:val="0"/>
      <w:marTop w:val="0"/>
      <w:marBottom w:val="0"/>
      <w:divBdr>
        <w:top w:val="none" w:sz="0" w:space="0" w:color="auto"/>
        <w:left w:val="none" w:sz="0" w:space="0" w:color="auto"/>
        <w:bottom w:val="none" w:sz="0" w:space="0" w:color="auto"/>
        <w:right w:val="none" w:sz="0" w:space="0" w:color="auto"/>
      </w:divBdr>
      <w:divsChild>
        <w:div w:id="207574875">
          <w:marLeft w:val="0"/>
          <w:marRight w:val="0"/>
          <w:marTop w:val="0"/>
          <w:marBottom w:val="0"/>
          <w:divBdr>
            <w:top w:val="none" w:sz="0" w:space="0" w:color="auto"/>
            <w:left w:val="none" w:sz="0" w:space="0" w:color="auto"/>
            <w:bottom w:val="none" w:sz="0" w:space="0" w:color="auto"/>
            <w:right w:val="none" w:sz="0" w:space="0" w:color="auto"/>
          </w:divBdr>
          <w:divsChild>
            <w:div w:id="846018527">
              <w:marLeft w:val="0"/>
              <w:marRight w:val="0"/>
              <w:marTop w:val="0"/>
              <w:marBottom w:val="0"/>
              <w:divBdr>
                <w:top w:val="none" w:sz="0" w:space="0" w:color="auto"/>
                <w:left w:val="none" w:sz="0" w:space="0" w:color="auto"/>
                <w:bottom w:val="none" w:sz="0" w:space="0" w:color="auto"/>
                <w:right w:val="none" w:sz="0" w:space="0" w:color="auto"/>
              </w:divBdr>
              <w:divsChild>
                <w:div w:id="829755583">
                  <w:marLeft w:val="0"/>
                  <w:marRight w:val="0"/>
                  <w:marTop w:val="0"/>
                  <w:marBottom w:val="0"/>
                  <w:divBdr>
                    <w:top w:val="none" w:sz="0" w:space="0" w:color="auto"/>
                    <w:left w:val="none" w:sz="0" w:space="0" w:color="auto"/>
                    <w:bottom w:val="none" w:sz="0" w:space="0" w:color="auto"/>
                    <w:right w:val="none" w:sz="0" w:space="0" w:color="auto"/>
                  </w:divBdr>
                </w:div>
                <w:div w:id="176430890">
                  <w:marLeft w:val="0"/>
                  <w:marRight w:val="0"/>
                  <w:marTop w:val="0"/>
                  <w:marBottom w:val="0"/>
                  <w:divBdr>
                    <w:top w:val="none" w:sz="0" w:space="0" w:color="auto"/>
                    <w:left w:val="none" w:sz="0" w:space="0" w:color="auto"/>
                    <w:bottom w:val="none" w:sz="0" w:space="0" w:color="auto"/>
                    <w:right w:val="none" w:sz="0" w:space="0" w:color="auto"/>
                  </w:divBdr>
                </w:div>
                <w:div w:id="3976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6906">
      <w:bodyDiv w:val="1"/>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sChild>
            <w:div w:id="2081904941">
              <w:marLeft w:val="0"/>
              <w:marRight w:val="0"/>
              <w:marTop w:val="0"/>
              <w:marBottom w:val="0"/>
              <w:divBdr>
                <w:top w:val="none" w:sz="0" w:space="0" w:color="auto"/>
                <w:left w:val="none" w:sz="0" w:space="0" w:color="auto"/>
                <w:bottom w:val="none" w:sz="0" w:space="0" w:color="auto"/>
                <w:right w:val="none" w:sz="0" w:space="0" w:color="auto"/>
              </w:divBdr>
              <w:divsChild>
                <w:div w:id="1473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429">
      <w:bodyDiv w:val="1"/>
      <w:marLeft w:val="0"/>
      <w:marRight w:val="0"/>
      <w:marTop w:val="0"/>
      <w:marBottom w:val="0"/>
      <w:divBdr>
        <w:top w:val="none" w:sz="0" w:space="0" w:color="auto"/>
        <w:left w:val="none" w:sz="0" w:space="0" w:color="auto"/>
        <w:bottom w:val="none" w:sz="0" w:space="0" w:color="auto"/>
        <w:right w:val="none" w:sz="0" w:space="0" w:color="auto"/>
      </w:divBdr>
      <w:divsChild>
        <w:div w:id="1070038300">
          <w:marLeft w:val="0"/>
          <w:marRight w:val="0"/>
          <w:marTop w:val="0"/>
          <w:marBottom w:val="0"/>
          <w:divBdr>
            <w:top w:val="none" w:sz="0" w:space="0" w:color="auto"/>
            <w:left w:val="none" w:sz="0" w:space="0" w:color="auto"/>
            <w:bottom w:val="none" w:sz="0" w:space="0" w:color="auto"/>
            <w:right w:val="none" w:sz="0" w:space="0" w:color="auto"/>
          </w:divBdr>
          <w:divsChild>
            <w:div w:id="1469014364">
              <w:marLeft w:val="0"/>
              <w:marRight w:val="0"/>
              <w:marTop w:val="0"/>
              <w:marBottom w:val="0"/>
              <w:divBdr>
                <w:top w:val="none" w:sz="0" w:space="0" w:color="auto"/>
                <w:left w:val="none" w:sz="0" w:space="0" w:color="auto"/>
                <w:bottom w:val="none" w:sz="0" w:space="0" w:color="auto"/>
                <w:right w:val="none" w:sz="0" w:space="0" w:color="auto"/>
              </w:divBdr>
              <w:divsChild>
                <w:div w:id="355162651">
                  <w:marLeft w:val="0"/>
                  <w:marRight w:val="0"/>
                  <w:marTop w:val="0"/>
                  <w:marBottom w:val="0"/>
                  <w:divBdr>
                    <w:top w:val="none" w:sz="0" w:space="0" w:color="auto"/>
                    <w:left w:val="none" w:sz="0" w:space="0" w:color="auto"/>
                    <w:bottom w:val="none" w:sz="0" w:space="0" w:color="auto"/>
                    <w:right w:val="none" w:sz="0" w:space="0" w:color="auto"/>
                  </w:divBdr>
                </w:div>
              </w:divsChild>
            </w:div>
            <w:div w:id="878318783">
              <w:marLeft w:val="0"/>
              <w:marRight w:val="0"/>
              <w:marTop w:val="0"/>
              <w:marBottom w:val="0"/>
              <w:divBdr>
                <w:top w:val="none" w:sz="0" w:space="0" w:color="auto"/>
                <w:left w:val="none" w:sz="0" w:space="0" w:color="auto"/>
                <w:bottom w:val="none" w:sz="0" w:space="0" w:color="auto"/>
                <w:right w:val="none" w:sz="0" w:space="0" w:color="auto"/>
              </w:divBdr>
              <w:divsChild>
                <w:div w:id="470636636">
                  <w:marLeft w:val="0"/>
                  <w:marRight w:val="0"/>
                  <w:marTop w:val="0"/>
                  <w:marBottom w:val="0"/>
                  <w:divBdr>
                    <w:top w:val="none" w:sz="0" w:space="0" w:color="auto"/>
                    <w:left w:val="none" w:sz="0" w:space="0" w:color="auto"/>
                    <w:bottom w:val="none" w:sz="0" w:space="0" w:color="auto"/>
                    <w:right w:val="none" w:sz="0" w:space="0" w:color="auto"/>
                  </w:divBdr>
                </w:div>
                <w:div w:id="1498837848">
                  <w:marLeft w:val="0"/>
                  <w:marRight w:val="0"/>
                  <w:marTop w:val="0"/>
                  <w:marBottom w:val="0"/>
                  <w:divBdr>
                    <w:top w:val="none" w:sz="0" w:space="0" w:color="auto"/>
                    <w:left w:val="none" w:sz="0" w:space="0" w:color="auto"/>
                    <w:bottom w:val="none" w:sz="0" w:space="0" w:color="auto"/>
                    <w:right w:val="none" w:sz="0" w:space="0" w:color="auto"/>
                  </w:divBdr>
                </w:div>
              </w:divsChild>
            </w:div>
            <w:div w:id="685518697">
              <w:marLeft w:val="0"/>
              <w:marRight w:val="0"/>
              <w:marTop w:val="0"/>
              <w:marBottom w:val="0"/>
              <w:divBdr>
                <w:top w:val="none" w:sz="0" w:space="0" w:color="auto"/>
                <w:left w:val="none" w:sz="0" w:space="0" w:color="auto"/>
                <w:bottom w:val="none" w:sz="0" w:space="0" w:color="auto"/>
                <w:right w:val="none" w:sz="0" w:space="0" w:color="auto"/>
              </w:divBdr>
              <w:divsChild>
                <w:div w:id="1616406596">
                  <w:marLeft w:val="0"/>
                  <w:marRight w:val="0"/>
                  <w:marTop w:val="0"/>
                  <w:marBottom w:val="0"/>
                  <w:divBdr>
                    <w:top w:val="none" w:sz="0" w:space="0" w:color="auto"/>
                    <w:left w:val="none" w:sz="0" w:space="0" w:color="auto"/>
                    <w:bottom w:val="none" w:sz="0" w:space="0" w:color="auto"/>
                    <w:right w:val="none" w:sz="0" w:space="0" w:color="auto"/>
                  </w:divBdr>
                </w:div>
              </w:divsChild>
            </w:div>
            <w:div w:id="1019428730">
              <w:marLeft w:val="0"/>
              <w:marRight w:val="0"/>
              <w:marTop w:val="0"/>
              <w:marBottom w:val="0"/>
              <w:divBdr>
                <w:top w:val="none" w:sz="0" w:space="0" w:color="auto"/>
                <w:left w:val="none" w:sz="0" w:space="0" w:color="auto"/>
                <w:bottom w:val="none" w:sz="0" w:space="0" w:color="auto"/>
                <w:right w:val="none" w:sz="0" w:space="0" w:color="auto"/>
              </w:divBdr>
              <w:divsChild>
                <w:div w:id="1469937717">
                  <w:marLeft w:val="0"/>
                  <w:marRight w:val="0"/>
                  <w:marTop w:val="0"/>
                  <w:marBottom w:val="0"/>
                  <w:divBdr>
                    <w:top w:val="none" w:sz="0" w:space="0" w:color="auto"/>
                    <w:left w:val="none" w:sz="0" w:space="0" w:color="auto"/>
                    <w:bottom w:val="none" w:sz="0" w:space="0" w:color="auto"/>
                    <w:right w:val="none" w:sz="0" w:space="0" w:color="auto"/>
                  </w:divBdr>
                </w:div>
              </w:divsChild>
            </w:div>
            <w:div w:id="1546025020">
              <w:marLeft w:val="0"/>
              <w:marRight w:val="0"/>
              <w:marTop w:val="0"/>
              <w:marBottom w:val="0"/>
              <w:divBdr>
                <w:top w:val="none" w:sz="0" w:space="0" w:color="auto"/>
                <w:left w:val="none" w:sz="0" w:space="0" w:color="auto"/>
                <w:bottom w:val="none" w:sz="0" w:space="0" w:color="auto"/>
                <w:right w:val="none" w:sz="0" w:space="0" w:color="auto"/>
              </w:divBdr>
              <w:divsChild>
                <w:div w:id="9297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1511">
      <w:bodyDiv w:val="1"/>
      <w:marLeft w:val="0"/>
      <w:marRight w:val="0"/>
      <w:marTop w:val="0"/>
      <w:marBottom w:val="0"/>
      <w:divBdr>
        <w:top w:val="none" w:sz="0" w:space="0" w:color="auto"/>
        <w:left w:val="none" w:sz="0" w:space="0" w:color="auto"/>
        <w:bottom w:val="none" w:sz="0" w:space="0" w:color="auto"/>
        <w:right w:val="none" w:sz="0" w:space="0" w:color="auto"/>
      </w:divBdr>
      <w:divsChild>
        <w:div w:id="2016223628">
          <w:marLeft w:val="0"/>
          <w:marRight w:val="0"/>
          <w:marTop w:val="0"/>
          <w:marBottom w:val="0"/>
          <w:divBdr>
            <w:top w:val="none" w:sz="0" w:space="0" w:color="auto"/>
            <w:left w:val="none" w:sz="0" w:space="0" w:color="auto"/>
            <w:bottom w:val="none" w:sz="0" w:space="0" w:color="auto"/>
            <w:right w:val="none" w:sz="0" w:space="0" w:color="auto"/>
          </w:divBdr>
          <w:divsChild>
            <w:div w:id="222526669">
              <w:marLeft w:val="0"/>
              <w:marRight w:val="0"/>
              <w:marTop w:val="0"/>
              <w:marBottom w:val="0"/>
              <w:divBdr>
                <w:top w:val="none" w:sz="0" w:space="0" w:color="auto"/>
                <w:left w:val="none" w:sz="0" w:space="0" w:color="auto"/>
                <w:bottom w:val="none" w:sz="0" w:space="0" w:color="auto"/>
                <w:right w:val="none" w:sz="0" w:space="0" w:color="auto"/>
              </w:divBdr>
              <w:divsChild>
                <w:div w:id="548029867">
                  <w:marLeft w:val="0"/>
                  <w:marRight w:val="0"/>
                  <w:marTop w:val="0"/>
                  <w:marBottom w:val="0"/>
                  <w:divBdr>
                    <w:top w:val="none" w:sz="0" w:space="0" w:color="auto"/>
                    <w:left w:val="none" w:sz="0" w:space="0" w:color="auto"/>
                    <w:bottom w:val="none" w:sz="0" w:space="0" w:color="auto"/>
                    <w:right w:val="none" w:sz="0" w:space="0" w:color="auto"/>
                  </w:divBdr>
                </w:div>
                <w:div w:id="1463380673">
                  <w:marLeft w:val="0"/>
                  <w:marRight w:val="0"/>
                  <w:marTop w:val="0"/>
                  <w:marBottom w:val="0"/>
                  <w:divBdr>
                    <w:top w:val="none" w:sz="0" w:space="0" w:color="auto"/>
                    <w:left w:val="none" w:sz="0" w:space="0" w:color="auto"/>
                    <w:bottom w:val="none" w:sz="0" w:space="0" w:color="auto"/>
                    <w:right w:val="none" w:sz="0" w:space="0" w:color="auto"/>
                  </w:divBdr>
                </w:div>
                <w:div w:id="3999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1465</Characters>
  <Application>Microsoft Macintosh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Heard</dc:creator>
  <cp:keywords/>
  <dc:description/>
  <cp:lastModifiedBy>Sharon Heard</cp:lastModifiedBy>
  <cp:revision>4</cp:revision>
  <dcterms:created xsi:type="dcterms:W3CDTF">2018-10-26T17:10:00Z</dcterms:created>
  <dcterms:modified xsi:type="dcterms:W3CDTF">2018-10-26T17:22:00Z</dcterms:modified>
</cp:coreProperties>
</file>